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43" w:rsidRDefault="00735B6A">
      <w:pPr>
        <w:spacing w:after="39" w:line="240" w:lineRule="auto"/>
        <w:ind w:left="10" w:right="-15"/>
        <w:jc w:val="center"/>
      </w:pPr>
      <w:bookmarkStart w:id="0" w:name="_GoBack"/>
      <w:bookmarkEnd w:id="0"/>
      <w:r>
        <w:rPr>
          <w:b/>
        </w:rPr>
        <w:t xml:space="preserve">-- ANNEX A -- </w:t>
      </w:r>
    </w:p>
    <w:p w:rsidR="00FC6543" w:rsidRDefault="00735B6A">
      <w:pPr>
        <w:spacing w:after="36" w:line="240" w:lineRule="auto"/>
        <w:ind w:left="0" w:firstLine="0"/>
        <w:jc w:val="center"/>
      </w:pPr>
      <w:r>
        <w:rPr>
          <w:b/>
        </w:rPr>
        <w:t xml:space="preserve"> </w:t>
      </w:r>
    </w:p>
    <w:p w:rsidR="00FC6543" w:rsidRDefault="00735B6A">
      <w:pPr>
        <w:spacing w:after="39" w:line="240" w:lineRule="auto"/>
        <w:ind w:left="10" w:right="-15"/>
        <w:jc w:val="center"/>
      </w:pPr>
      <w:r>
        <w:rPr>
          <w:b/>
        </w:rPr>
        <w:t xml:space="preserve">TERMS OF REFERENCE </w:t>
      </w:r>
    </w:p>
    <w:p w:rsidR="00FC6543" w:rsidRDefault="00735B6A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FC6543" w:rsidRDefault="00735B6A">
      <w:pPr>
        <w:spacing w:after="39" w:line="240" w:lineRule="auto"/>
        <w:ind w:left="10" w:right="-15"/>
        <w:jc w:val="center"/>
      </w:pPr>
      <w:r>
        <w:rPr>
          <w:b/>
        </w:rPr>
        <w:t xml:space="preserve">CONSULTANT FOR ASEAN YOUTH DEVELOPMENT INDEX PHASE II </w:t>
      </w:r>
    </w:p>
    <w:p w:rsidR="00FC6543" w:rsidRDefault="00735B6A">
      <w:pPr>
        <w:spacing w:after="36" w:line="240" w:lineRule="auto"/>
        <w:ind w:left="0" w:firstLine="0"/>
        <w:jc w:val="center"/>
      </w:pPr>
      <w:r>
        <w:t xml:space="preserve"> </w:t>
      </w:r>
    </w:p>
    <w:p w:rsidR="00FC6543" w:rsidRDefault="00735B6A">
      <w:pPr>
        <w:spacing w:after="39" w:line="240" w:lineRule="auto"/>
        <w:ind w:left="0" w:firstLine="0"/>
        <w:jc w:val="center"/>
      </w:pPr>
      <w:r>
        <w:rPr>
          <w:i/>
        </w:rPr>
        <w:t xml:space="preserve">Consultancy Period: May 2019 – April 2020 </w:t>
      </w:r>
    </w:p>
    <w:p w:rsidR="00FC6543" w:rsidRDefault="00735B6A">
      <w:pPr>
        <w:spacing w:after="39" w:line="240" w:lineRule="auto"/>
        <w:ind w:left="0" w:firstLine="0"/>
        <w:jc w:val="center"/>
      </w:pPr>
      <w:r>
        <w:t xml:space="preserve"> </w:t>
      </w:r>
    </w:p>
    <w:p w:rsidR="00FC6543" w:rsidRDefault="00735B6A">
      <w:pPr>
        <w:spacing w:line="240" w:lineRule="auto"/>
        <w:ind w:left="0" w:firstLine="0"/>
        <w:jc w:val="center"/>
      </w:pPr>
      <w:r>
        <w:t xml:space="preserve"> </w:t>
      </w:r>
    </w:p>
    <w:p w:rsidR="00FC6543" w:rsidRDefault="00735B6A">
      <w:pPr>
        <w:spacing w:after="38"/>
        <w:ind w:left="260"/>
      </w:pPr>
      <w:r>
        <w:rPr>
          <w:b/>
        </w:rPr>
        <w:t xml:space="preserve">I. </w:t>
      </w:r>
      <w:r>
        <w:rPr>
          <w:b/>
        </w:rPr>
        <w:tab/>
        <w:t xml:space="preserve">INTRODUCTION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1"/>
        </w:numPr>
      </w:pPr>
      <w:r>
        <w:t>With the aim of providing a measured state of development of the ASEAN youth community and establishing a solid reference for evidence-based policy making in youth development, ASEAN formulated its First Youth Development Index (YDI) in 2017</w:t>
      </w:r>
      <w:r>
        <w:rPr>
          <w:vertAlign w:val="superscript"/>
        </w:rPr>
        <w:footnoteReference w:id="1"/>
      </w:r>
      <w:r>
        <w:t>. Indicators m</w:t>
      </w:r>
      <w:r>
        <w:t xml:space="preserve">easured under the ASEAN YDI are divided into five (5) domains, namely: (i) Education; (ii) Health and Wellbeing; (iIi) Employment and Opportunity; (iv) Participation and Engagement; and (v) ASEAN Awareness, Values and Identity. A YDI Task Force comprising </w:t>
      </w:r>
      <w:r>
        <w:t xml:space="preserve">up to two officials per ASEAN Member State from the ASEAN Senior Officials Meeting on Youth (SOMY) was established to oversee and facilitate the formulation of ASEAN YDI.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1"/>
        </w:numPr>
      </w:pPr>
      <w:r>
        <w:t>Realising that the development of an ASEAN YDI has significant contribution to the</w:t>
      </w:r>
      <w:r>
        <w:t xml:space="preserve"> need of ASEAN in profiling its youth and to determine areas that need greater attention and further investment, the ASEAN Leaders adopted the ASEAN YDI at the 31</w:t>
      </w:r>
      <w:r>
        <w:rPr>
          <w:vertAlign w:val="superscript"/>
        </w:rPr>
        <w:t>st</w:t>
      </w:r>
      <w:r>
        <w:t xml:space="preserve"> ASEAN Summit on 13 November 2017 in Manila, the Philippines. The First ASEAN YDI Report whi</w:t>
      </w:r>
      <w:r>
        <w:t>ch highlighted the findings of domains (i)-(iv) was also noted by the Leaders during the 31</w:t>
      </w:r>
      <w:r>
        <w:rPr>
          <w:vertAlign w:val="superscript"/>
        </w:rPr>
        <w:t>st</w:t>
      </w:r>
      <w:r>
        <w:t xml:space="preserve"> Summit. Due to its distinctly ASEAN feature, the fifth domain on ASEAN Awareness, Values and Identity was decided to be addressed through a second phase of the st</w:t>
      </w:r>
      <w:r>
        <w:t xml:space="preserve">udy.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1"/>
        </w:numPr>
      </w:pPr>
      <w:r>
        <w:t xml:space="preserve">The study to be conducted through Phase II of this project may require a combination of quantitative and qualitative data collection and analysis. Reports on two (2) preceding studies with relevance to ASEAN Awareness among youth undertaken by the </w:t>
      </w:r>
      <w:r>
        <w:t xml:space="preserve">ASEAN Foundation in 2007 and the Yusof Ishak Foundation, Singapore, in 2014 are available for benchmarking in terms of results and methodologies.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1"/>
        </w:numPr>
      </w:pPr>
      <w:r>
        <w:t xml:space="preserve">This consultancy will entail the development of a data collection framework, consultative meetings, formulation of data collection instrument/s, coordination of data collection and processing, as well as data analysis and report writing. </w:t>
      </w:r>
    </w:p>
    <w:p w:rsidR="00FC6543" w:rsidRDefault="00735B6A">
      <w:pPr>
        <w:spacing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8"/>
        <w:ind w:left="207"/>
      </w:pPr>
      <w:r>
        <w:rPr>
          <w:b/>
        </w:rPr>
        <w:t xml:space="preserve">II. </w:t>
      </w:r>
      <w:r>
        <w:rPr>
          <w:b/>
        </w:rPr>
        <w:tab/>
        <w:t xml:space="preserve">PURPOSE 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r>
        <w:lastRenderedPageBreak/>
        <w:t>5.</w:t>
      </w:r>
      <w:r>
        <w:t xml:space="preserve"> </w:t>
      </w:r>
      <w:r>
        <w:t xml:space="preserve">This Terms of Reference (TOR) aims to guide the recruitment of a consultant who will develop the ASEAN Youth Development Index (YDI) Phase II Report, focusing on the fifth domain of the YDI on ASEAN Awareness, Values and Identity.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8"/>
        <w:ind w:left="137"/>
      </w:pPr>
      <w:r>
        <w:rPr>
          <w:b/>
        </w:rPr>
        <w:t xml:space="preserve">III. </w:t>
      </w:r>
      <w:r>
        <w:rPr>
          <w:b/>
        </w:rPr>
        <w:tab/>
        <w:t>PROJECT OBJ</w:t>
      </w:r>
      <w:r>
        <w:rPr>
          <w:b/>
        </w:rPr>
        <w:t xml:space="preserve">ECTIVE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r>
        <w:t>6.</w:t>
      </w:r>
      <w:r>
        <w:t xml:space="preserve"> </w:t>
      </w:r>
      <w:r>
        <w:t xml:space="preserve">The </w:t>
      </w:r>
      <w:r>
        <w:rPr>
          <w:b/>
        </w:rPr>
        <w:t>objective</w:t>
      </w:r>
      <w:r>
        <w:t xml:space="preserve"> of the ASEAN YDI Phase II project is to complete the ASEAN YDI report by generating qualitative/quantitative data and information on the state of YDI’s fifth domain on ASEAN Awareness, Values and Identity. </w:t>
      </w:r>
    </w:p>
    <w:p w:rsidR="00FC6543" w:rsidRDefault="00735B6A">
      <w:pPr>
        <w:spacing w:after="39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8"/>
        <w:ind w:left="137"/>
      </w:pPr>
      <w:r>
        <w:rPr>
          <w:b/>
        </w:rPr>
        <w:t xml:space="preserve">IV. </w:t>
      </w:r>
      <w:r>
        <w:rPr>
          <w:b/>
        </w:rPr>
        <w:tab/>
        <w:t>SCOPE OF WORK A</w:t>
      </w:r>
      <w:r>
        <w:rPr>
          <w:b/>
        </w:rPr>
        <w:t>ND OUTPUTS OF CONSULTANCY</w:t>
      </w:r>
      <w:r>
        <w:t xml:space="preserve">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r>
        <w:t>7.</w:t>
      </w:r>
      <w:r>
        <w:t xml:space="preserve"> </w:t>
      </w:r>
      <w:r>
        <w:tab/>
      </w:r>
      <w:r>
        <w:t xml:space="preserve">The consultant will be responsible for producing the following deliverables: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2"/>
        </w:numPr>
        <w:spacing w:after="38" w:line="240" w:lineRule="auto"/>
        <w:ind w:right="-15" w:hanging="360"/>
        <w:jc w:val="left"/>
      </w:pPr>
      <w:r>
        <w:rPr>
          <w:b/>
          <w:u w:val="single" w:color="000000"/>
        </w:rPr>
        <w:t>Output 1: Inception Report</w:t>
      </w:r>
      <w:r>
        <w:rPr>
          <w:b/>
        </w:rPr>
        <w:t xml:space="preserve"> </w:t>
      </w:r>
    </w:p>
    <w:p w:rsidR="00FC6543" w:rsidRDefault="00735B6A">
      <w:pPr>
        <w:spacing w:after="39" w:line="240" w:lineRule="auto"/>
        <w:ind w:left="1418" w:firstLine="0"/>
        <w:jc w:val="left"/>
      </w:pPr>
      <w:r>
        <w:t xml:space="preserve"> </w:t>
      </w:r>
    </w:p>
    <w:p w:rsidR="00FC6543" w:rsidRDefault="00735B6A">
      <w:pPr>
        <w:ind w:left="1428"/>
      </w:pPr>
      <w:r>
        <w:t>The Inception Report will detail among others, the scope, methodology and timelines of the study, and provisional outline of the report.  It shall also include a compilation and review of secondary data including existing researches, literature, and analys</w:t>
      </w:r>
      <w:r>
        <w:t xml:space="preserve">es relevant to youth development in ASEAN and around the world, particularly on awareness, values, and identity. </w:t>
      </w:r>
      <w:r>
        <w:rPr>
          <w:b/>
        </w:rPr>
        <w:t xml:space="preserve"> </w:t>
      </w:r>
    </w:p>
    <w:p w:rsidR="00FC6543" w:rsidRDefault="00735B6A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FC6543" w:rsidRDefault="00735B6A">
      <w:pPr>
        <w:numPr>
          <w:ilvl w:val="0"/>
          <w:numId w:val="2"/>
        </w:numPr>
        <w:spacing w:after="38" w:line="240" w:lineRule="auto"/>
        <w:ind w:right="-15" w:hanging="360"/>
        <w:jc w:val="left"/>
      </w:pPr>
      <w:r>
        <w:rPr>
          <w:b/>
          <w:u w:val="single" w:color="000000"/>
        </w:rPr>
        <w:t>Output 2: Data Collection Framework</w:t>
      </w:r>
      <w:r>
        <w:rPr>
          <w:b/>
        </w:rPr>
        <w:t xml:space="preserve">   </w:t>
      </w:r>
    </w:p>
    <w:p w:rsidR="00FC6543" w:rsidRDefault="00735B6A">
      <w:pPr>
        <w:spacing w:after="38" w:line="240" w:lineRule="auto"/>
        <w:ind w:left="1080" w:firstLine="0"/>
        <w:jc w:val="left"/>
      </w:pPr>
      <w:r>
        <w:t xml:space="preserve"> </w:t>
      </w:r>
    </w:p>
    <w:p w:rsidR="00FC6543" w:rsidRDefault="00735B6A">
      <w:pPr>
        <w:numPr>
          <w:ilvl w:val="1"/>
          <w:numId w:val="2"/>
        </w:numPr>
        <w:spacing w:after="38"/>
        <w:ind w:hanging="567"/>
      </w:pPr>
      <w:r>
        <w:t>The</w:t>
      </w:r>
      <w:r>
        <w:rPr>
          <w:b/>
        </w:rPr>
        <w:t xml:space="preserve"> proposed Data Collection framework should clearly articulate how ASEAN Awareness, Values and I</w:t>
      </w:r>
      <w:r>
        <w:rPr>
          <w:b/>
        </w:rPr>
        <w:t>dentity will be measured</w:t>
      </w:r>
      <w:r>
        <w:t xml:space="preserve">. The Data Collection Framework will include five (5) main components:  </w:t>
      </w:r>
    </w:p>
    <w:p w:rsidR="00FC6543" w:rsidRDefault="00735B6A">
      <w:pPr>
        <w:numPr>
          <w:ilvl w:val="2"/>
          <w:numId w:val="2"/>
        </w:numPr>
        <w:ind w:hanging="720"/>
      </w:pPr>
      <w:r>
        <w:t xml:space="preserve">a complete set of proposed indicators;  </w:t>
      </w:r>
    </w:p>
    <w:p w:rsidR="00FC6543" w:rsidRDefault="00735B6A">
      <w:pPr>
        <w:numPr>
          <w:ilvl w:val="2"/>
          <w:numId w:val="2"/>
        </w:numPr>
        <w:ind w:hanging="720"/>
      </w:pPr>
      <w:r>
        <w:t xml:space="preserve">methodology of data collection for all indicators;  </w:t>
      </w:r>
    </w:p>
    <w:p w:rsidR="00FC6543" w:rsidRDefault="00735B6A">
      <w:pPr>
        <w:numPr>
          <w:ilvl w:val="2"/>
          <w:numId w:val="2"/>
        </w:numPr>
        <w:ind w:hanging="720"/>
      </w:pPr>
      <w:r>
        <w:t xml:space="preserve">data collection tool(s) that will be used to collect information </w:t>
      </w:r>
      <w:r>
        <w:t xml:space="preserve">required for the specified indicators;  </w:t>
      </w:r>
    </w:p>
    <w:p w:rsidR="00FC6543" w:rsidRDefault="00735B6A">
      <w:pPr>
        <w:numPr>
          <w:ilvl w:val="2"/>
          <w:numId w:val="2"/>
        </w:numPr>
        <w:ind w:hanging="720"/>
      </w:pPr>
      <w:r>
        <w:t xml:space="preserve">proposed framework and/or tools to analyse the data; and  </w:t>
      </w:r>
    </w:p>
    <w:p w:rsidR="00FC6543" w:rsidRDefault="00735B6A">
      <w:pPr>
        <w:numPr>
          <w:ilvl w:val="2"/>
          <w:numId w:val="2"/>
        </w:numPr>
        <w:ind w:hanging="720"/>
      </w:pPr>
      <w:r>
        <w:t>proposed institutional arrangement for succeeding assessments of the 5</w:t>
      </w:r>
      <w:r>
        <w:rPr>
          <w:vertAlign w:val="superscript"/>
        </w:rPr>
        <w:t>th</w:t>
      </w:r>
      <w:r>
        <w:t xml:space="preserve"> domain including the data collection, processing and reporting. </w:t>
      </w:r>
    </w:p>
    <w:p w:rsidR="00FC6543" w:rsidRDefault="00735B6A">
      <w:pPr>
        <w:spacing w:after="36" w:line="240" w:lineRule="auto"/>
        <w:ind w:left="1440" w:firstLine="0"/>
        <w:jc w:val="left"/>
      </w:pPr>
      <w:r>
        <w:t xml:space="preserve"> </w:t>
      </w:r>
    </w:p>
    <w:p w:rsidR="00FC6543" w:rsidRDefault="00735B6A">
      <w:pPr>
        <w:numPr>
          <w:ilvl w:val="1"/>
          <w:numId w:val="2"/>
        </w:numPr>
        <w:ind w:hanging="567"/>
      </w:pPr>
      <w:r>
        <w:t>The above-mentio</w:t>
      </w:r>
      <w:r>
        <w:t xml:space="preserve">ned components will be formulated using the following references: </w:t>
      </w:r>
    </w:p>
    <w:p w:rsidR="00FC6543" w:rsidRDefault="00735B6A">
      <w:pPr>
        <w:numPr>
          <w:ilvl w:val="2"/>
          <w:numId w:val="2"/>
        </w:numPr>
        <w:ind w:hanging="720"/>
      </w:pPr>
      <w:r>
        <w:t>An initial set of indicators and preliminary modes of data-gathering generated through a Brainstorming Workshop for the Development of the 2</w:t>
      </w:r>
      <w:r>
        <w:rPr>
          <w:vertAlign w:val="superscript"/>
        </w:rPr>
        <w:t>nd</w:t>
      </w:r>
      <w:r>
        <w:t xml:space="preserve"> Phase of the ASEAN YDI organised in August 201</w:t>
      </w:r>
      <w:r>
        <w:t xml:space="preserve">7. These will be further refined and considered based on the feasibility of data-collection. Other primary and secondary data or modes of data-gathering that </w:t>
      </w:r>
      <w:r>
        <w:lastRenderedPageBreak/>
        <w:t xml:space="preserve">the consultant and member states may identify should also be considered.  </w:t>
      </w:r>
    </w:p>
    <w:p w:rsidR="00FC6543" w:rsidRDefault="00735B6A">
      <w:pPr>
        <w:numPr>
          <w:ilvl w:val="2"/>
          <w:numId w:val="2"/>
        </w:numPr>
        <w:spacing w:after="39" w:line="234" w:lineRule="auto"/>
        <w:ind w:hanging="720"/>
      </w:pPr>
      <w:r>
        <w:t>Report of a study under</w:t>
      </w:r>
      <w:r>
        <w:t>taken by the Yusof Ishak Foundation, Singapore in 2014 with the title of publication “Do Young People Know ASEAN?,” to which a sample questionnaire comprising standard questions given to all respondents is appended. This report also includes the statistica</w:t>
      </w:r>
      <w:r>
        <w:t xml:space="preserve">l results of the study conducted by the research team; </w:t>
      </w:r>
    </w:p>
    <w:p w:rsidR="00FC6543" w:rsidRDefault="00735B6A">
      <w:pPr>
        <w:numPr>
          <w:ilvl w:val="2"/>
          <w:numId w:val="2"/>
        </w:numPr>
        <w:ind w:hanging="720"/>
      </w:pPr>
      <w:r>
        <w:t>Results of an ongoing ASEAN cooperation project on Poll on ASEAN Awareness. A component on ASEAN Identity forms part of this project and will also serve as another reference in developing the methodol</w:t>
      </w:r>
      <w:r>
        <w:t xml:space="preserve">ogy of ASEAN Youth Development Index Phase II data collection.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1"/>
          <w:numId w:val="2"/>
        </w:numPr>
        <w:ind w:hanging="567"/>
      </w:pPr>
      <w:r>
        <w:t xml:space="preserve">The proposed data collection framework will be subject to consultation and endorsement of the YDI Task Force. </w:t>
      </w:r>
    </w:p>
    <w:p w:rsidR="00FC6543" w:rsidRDefault="00735B6A">
      <w:pPr>
        <w:spacing w:after="39" w:line="240" w:lineRule="auto"/>
        <w:ind w:left="1440" w:firstLine="0"/>
        <w:jc w:val="left"/>
      </w:pPr>
      <w:r>
        <w:t xml:space="preserve"> </w:t>
      </w:r>
    </w:p>
    <w:p w:rsidR="00FC6543" w:rsidRDefault="00735B6A">
      <w:pPr>
        <w:spacing w:after="39" w:line="240" w:lineRule="auto"/>
        <w:ind w:left="1440" w:firstLine="0"/>
        <w:jc w:val="left"/>
      </w:pPr>
      <w:r>
        <w:t xml:space="preserve"> </w:t>
      </w:r>
    </w:p>
    <w:p w:rsidR="00FC6543" w:rsidRDefault="00735B6A">
      <w:pPr>
        <w:spacing w:after="39" w:line="240" w:lineRule="auto"/>
        <w:ind w:left="1440" w:firstLine="0"/>
        <w:jc w:val="left"/>
      </w:pPr>
      <w:r>
        <w:t xml:space="preserve"> </w:t>
      </w:r>
    </w:p>
    <w:p w:rsidR="00FC6543" w:rsidRDefault="00735B6A">
      <w:pPr>
        <w:spacing w:after="0" w:line="240" w:lineRule="auto"/>
        <w:ind w:left="144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2"/>
        </w:numPr>
        <w:spacing w:after="38" w:line="240" w:lineRule="auto"/>
        <w:ind w:right="-15" w:hanging="360"/>
        <w:jc w:val="left"/>
      </w:pPr>
      <w:r>
        <w:rPr>
          <w:b/>
          <w:u w:val="single" w:color="000000"/>
        </w:rPr>
        <w:t>Output 3: Data Collection and Results Compilation</w:t>
      </w:r>
      <w:r>
        <w:rPr>
          <w:b/>
        </w:rPr>
        <w:t xml:space="preserve"> </w:t>
      </w:r>
    </w:p>
    <w:p w:rsidR="00FC6543" w:rsidRDefault="00735B6A">
      <w:pPr>
        <w:spacing w:after="36" w:line="240" w:lineRule="auto"/>
        <w:ind w:left="1440" w:firstLine="0"/>
        <w:jc w:val="left"/>
      </w:pPr>
      <w:r>
        <w:t xml:space="preserve"> </w:t>
      </w:r>
    </w:p>
    <w:p w:rsidR="00FC6543" w:rsidRDefault="00735B6A">
      <w:pPr>
        <w:numPr>
          <w:ilvl w:val="1"/>
          <w:numId w:val="2"/>
        </w:numPr>
        <w:ind w:hanging="567"/>
      </w:pPr>
      <w:r>
        <w:t xml:space="preserve">The Consultant will </w:t>
      </w:r>
      <w:r>
        <w:rPr>
          <w:b/>
        </w:rPr>
        <w:t xml:space="preserve">coordinate the conduct of data collection and compilation of results, in close cooperation with the AMS through the ASEAN Secretariat, </w:t>
      </w:r>
      <w:r>
        <w:t>covering all agreed indicators using the agreed methodology and tools. In close coordination with the</w:t>
      </w:r>
      <w:r>
        <w:t xml:space="preserve"> ASEAN Secretariat:  </w:t>
      </w:r>
    </w:p>
    <w:p w:rsidR="00FC6543" w:rsidRDefault="00735B6A">
      <w:pPr>
        <w:spacing w:after="38" w:line="240" w:lineRule="auto"/>
        <w:ind w:left="1985" w:firstLine="0"/>
        <w:jc w:val="left"/>
      </w:pPr>
      <w:r>
        <w:t xml:space="preserve"> </w:t>
      </w:r>
    </w:p>
    <w:p w:rsidR="00FC6543" w:rsidRDefault="00735B6A">
      <w:pPr>
        <w:numPr>
          <w:ilvl w:val="2"/>
          <w:numId w:val="2"/>
        </w:numPr>
        <w:ind w:hanging="720"/>
      </w:pPr>
      <w:r>
        <w:t xml:space="preserve">The Consultant will undertake constant communication with the ASEAN Secretariat regarding the progress of data collection;  </w:t>
      </w:r>
    </w:p>
    <w:p w:rsidR="00FC6543" w:rsidRDefault="00735B6A">
      <w:pPr>
        <w:numPr>
          <w:ilvl w:val="2"/>
          <w:numId w:val="2"/>
        </w:numPr>
        <w:ind w:hanging="720"/>
      </w:pPr>
      <w:r>
        <w:t xml:space="preserve">The Consultant will provide the complete data set in a well-structured manner.  </w:t>
      </w:r>
    </w:p>
    <w:p w:rsidR="00FC6543" w:rsidRDefault="00735B6A">
      <w:pPr>
        <w:spacing w:after="38" w:line="240" w:lineRule="auto"/>
        <w:ind w:left="1985" w:firstLine="0"/>
        <w:jc w:val="left"/>
      </w:pPr>
      <w:r>
        <w:t xml:space="preserve"> </w:t>
      </w:r>
    </w:p>
    <w:p w:rsidR="00FC6543" w:rsidRDefault="00735B6A">
      <w:pPr>
        <w:numPr>
          <w:ilvl w:val="1"/>
          <w:numId w:val="2"/>
        </w:numPr>
        <w:ind w:hanging="567"/>
      </w:pPr>
      <w:r>
        <w:t xml:space="preserve">During data collection, </w:t>
      </w:r>
      <w:r>
        <w:t xml:space="preserve">the Consultant will work with multiple stakeholders, including the ASEAN Member States, relevant think tanks, and youth organisations. ASEAN Secretariat will assist the Consultant in liaising with other parties involved.  </w:t>
      </w:r>
    </w:p>
    <w:p w:rsidR="00FC6543" w:rsidRDefault="00735B6A">
      <w:pPr>
        <w:spacing w:after="38" w:line="240" w:lineRule="auto"/>
        <w:ind w:left="1418" w:firstLine="0"/>
        <w:jc w:val="left"/>
      </w:pPr>
      <w:r>
        <w:t xml:space="preserve"> </w:t>
      </w:r>
    </w:p>
    <w:p w:rsidR="00FC6543" w:rsidRDefault="00735B6A">
      <w:pPr>
        <w:numPr>
          <w:ilvl w:val="1"/>
          <w:numId w:val="2"/>
        </w:numPr>
        <w:ind w:hanging="567"/>
      </w:pPr>
      <w:r>
        <w:t>At least one (1) physical meeting will be facilitated by the Consultant to bring together the YDI Taskforce - the ASEAN Secretariat - and the eventual contracted organisation(s) to validate the results of the data collection. Follow up consultations or mee</w:t>
      </w:r>
      <w:r>
        <w:t xml:space="preserve">tings may take place virtually or via email consultations as necessary.   </w:t>
      </w:r>
    </w:p>
    <w:p w:rsidR="00FC6543" w:rsidRDefault="00735B6A">
      <w:pPr>
        <w:spacing w:after="36" w:line="240" w:lineRule="auto"/>
        <w:ind w:left="720" w:firstLine="0"/>
        <w:jc w:val="left"/>
      </w:pPr>
      <w:r>
        <w:t xml:space="preserve"> </w:t>
      </w:r>
    </w:p>
    <w:p w:rsidR="00FC6543" w:rsidRDefault="00735B6A">
      <w:pPr>
        <w:numPr>
          <w:ilvl w:val="1"/>
          <w:numId w:val="2"/>
        </w:numPr>
        <w:ind w:hanging="567"/>
      </w:pPr>
      <w:r>
        <w:t xml:space="preserve">The consultant may also be required to present the highlights of the report to the SOMY during its regular meeting, during the term of </w:t>
      </w:r>
      <w:r>
        <w:lastRenderedPageBreak/>
        <w:t>this consultancy. Follow up consultations or</w:t>
      </w:r>
      <w:r>
        <w:t xml:space="preserve"> meetings may take place virtually or via email consultations as necessary.   </w:t>
      </w:r>
    </w:p>
    <w:p w:rsidR="00FC6543" w:rsidRDefault="00735B6A">
      <w:pPr>
        <w:spacing w:after="39" w:line="234" w:lineRule="auto"/>
        <w:ind w:left="0" w:right="6986" w:firstLine="0"/>
        <w:jc w:val="left"/>
      </w:pPr>
      <w:r>
        <w:t xml:space="preserve">  </w:t>
      </w:r>
    </w:p>
    <w:p w:rsidR="00FC6543" w:rsidRDefault="00735B6A">
      <w:pPr>
        <w:numPr>
          <w:ilvl w:val="0"/>
          <w:numId w:val="2"/>
        </w:numPr>
        <w:spacing w:after="38" w:line="240" w:lineRule="auto"/>
        <w:ind w:right="-15" w:hanging="360"/>
        <w:jc w:val="left"/>
      </w:pPr>
      <w:r>
        <w:rPr>
          <w:b/>
          <w:u w:val="single" w:color="000000"/>
        </w:rPr>
        <w:t>Output 4: ASEAN Youth Development Index Phase II Report</w:t>
      </w:r>
      <w:r>
        <w:rPr>
          <w:b/>
        </w:rPr>
        <w:t xml:space="preserve"> </w:t>
      </w:r>
    </w:p>
    <w:p w:rsidR="00FC6543" w:rsidRDefault="00735B6A">
      <w:pPr>
        <w:spacing w:after="36" w:line="240" w:lineRule="auto"/>
        <w:ind w:left="1440" w:firstLine="0"/>
        <w:jc w:val="left"/>
      </w:pPr>
      <w:r>
        <w:t xml:space="preserve"> </w:t>
      </w:r>
    </w:p>
    <w:p w:rsidR="00FC6543" w:rsidRDefault="00735B6A">
      <w:pPr>
        <w:numPr>
          <w:ilvl w:val="1"/>
          <w:numId w:val="2"/>
        </w:numPr>
        <w:ind w:hanging="567"/>
      </w:pPr>
      <w:r>
        <w:t>The Consultant will formulate the outline and key messages of the Report based on the data collection results and a</w:t>
      </w:r>
      <w:r>
        <w:t xml:space="preserve">nalysis.  </w:t>
      </w:r>
    </w:p>
    <w:p w:rsidR="00FC6543" w:rsidRDefault="00735B6A">
      <w:pPr>
        <w:spacing w:after="38" w:line="240" w:lineRule="auto"/>
        <w:ind w:left="1985" w:firstLine="0"/>
        <w:jc w:val="left"/>
      </w:pPr>
      <w:r>
        <w:t xml:space="preserve"> </w:t>
      </w:r>
    </w:p>
    <w:p w:rsidR="00FC6543" w:rsidRDefault="00735B6A">
      <w:pPr>
        <w:numPr>
          <w:ilvl w:val="1"/>
          <w:numId w:val="2"/>
        </w:numPr>
        <w:ind w:hanging="567"/>
      </w:pPr>
      <w:r>
        <w:t xml:space="preserve">The Consultant will develop the narratives and data visualisation in charts (as appropriate), based on the agreed outline that forms part of </w:t>
      </w:r>
      <w:r>
        <w:rPr>
          <w:i/>
        </w:rPr>
        <w:t>Output 1</w:t>
      </w:r>
      <w:r>
        <w:t xml:space="preserve">.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1"/>
          <w:numId w:val="2"/>
        </w:numPr>
        <w:ind w:hanging="567"/>
      </w:pPr>
      <w:r>
        <w:t xml:space="preserve">The Consultant will include a section in the Report, detailing the key stages of work, the methodology performed during the preparation and data collection. </w:t>
      </w:r>
    </w:p>
    <w:p w:rsidR="00FC6543" w:rsidRDefault="00735B6A">
      <w:pPr>
        <w:spacing w:after="38" w:line="240" w:lineRule="auto"/>
        <w:ind w:left="720" w:firstLine="0"/>
        <w:jc w:val="left"/>
      </w:pPr>
      <w:r>
        <w:t xml:space="preserve"> </w:t>
      </w:r>
    </w:p>
    <w:p w:rsidR="00FC6543" w:rsidRDefault="00735B6A">
      <w:pPr>
        <w:numPr>
          <w:ilvl w:val="1"/>
          <w:numId w:val="2"/>
        </w:numPr>
        <w:ind w:hanging="567"/>
      </w:pPr>
      <w:r>
        <w:t xml:space="preserve">The Consultant will accommodate inputs from the YDI Taskforce, SOMY and ASEAN Secretariat until the Report is finalised. </w:t>
      </w:r>
    </w:p>
    <w:p w:rsidR="00FC6543" w:rsidRDefault="00735B6A">
      <w:pPr>
        <w:spacing w:after="36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9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9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9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6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9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9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9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0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8"/>
        <w:ind w:left="137"/>
      </w:pPr>
      <w:r>
        <w:rPr>
          <w:b/>
        </w:rPr>
        <w:t xml:space="preserve">V. </w:t>
      </w:r>
      <w:r>
        <w:rPr>
          <w:b/>
        </w:rPr>
        <w:tab/>
        <w:t xml:space="preserve">INDICATIVE WORK PLAN </w:t>
      </w:r>
    </w:p>
    <w:p w:rsidR="00FC6543" w:rsidRDefault="00735B6A">
      <w:pPr>
        <w:spacing w:after="36" w:line="240" w:lineRule="auto"/>
        <w:ind w:left="0" w:firstLine="0"/>
        <w:jc w:val="left"/>
      </w:pPr>
      <w:r>
        <w:t xml:space="preserve"> </w:t>
      </w:r>
    </w:p>
    <w:p w:rsidR="00FC6543" w:rsidRDefault="00735B6A">
      <w:r>
        <w:t>8.</w:t>
      </w:r>
      <w:r>
        <w:t xml:space="preserve"> </w:t>
      </w:r>
      <w:r>
        <w:t>The Consultant will perform the work and deliver the expected outputs based on the fo</w:t>
      </w:r>
      <w:r>
        <w:t xml:space="preserve">llowing indicative work plan: </w:t>
      </w:r>
    </w:p>
    <w:p w:rsidR="00FC6543" w:rsidRDefault="00735B6A">
      <w:pPr>
        <w:spacing w:after="13" w:line="276" w:lineRule="auto"/>
        <w:ind w:left="720" w:firstLine="0"/>
        <w:jc w:val="left"/>
      </w:pPr>
      <w:r>
        <w:t xml:space="preserve"> </w:t>
      </w:r>
    </w:p>
    <w:tbl>
      <w:tblPr>
        <w:tblStyle w:val="TableGrid"/>
        <w:tblW w:w="7655" w:type="dxa"/>
        <w:tblInd w:w="709" w:type="dxa"/>
        <w:tblCellMar>
          <w:top w:w="0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65"/>
        <w:gridCol w:w="4681"/>
        <w:gridCol w:w="2409"/>
      </w:tblGrid>
      <w:tr w:rsidR="00FC6543">
        <w:trPr>
          <w:trHeight w:val="2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43" w:rsidRDefault="00735B6A">
            <w:pPr>
              <w:spacing w:after="0" w:line="276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No.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43" w:rsidRDefault="00735B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Activity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6543" w:rsidRDefault="00735B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Indicative Timeline </w:t>
            </w:r>
          </w:p>
        </w:tc>
      </w:tr>
      <w:tr w:rsidR="00FC6543">
        <w:trPr>
          <w:trHeight w:val="263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Outp ut 1: Inception Report                                                          </w:t>
            </w:r>
            <w:r>
              <w:rPr>
                <w:sz w:val="22"/>
              </w:rPr>
              <w:t>May 2019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FC6543">
        <w:trPr>
          <w:trHeight w:val="264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Outp ut 2: Data Collection Framework   </w:t>
            </w:r>
          </w:p>
        </w:tc>
      </w:tr>
      <w:tr w:rsidR="00FC6543">
        <w:trPr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Development of data collection framework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June 2019 </w:t>
            </w:r>
          </w:p>
        </w:tc>
      </w:tr>
      <w:tr w:rsidR="00FC6543">
        <w:trPr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Finalisation of data collection framework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July 2019 </w:t>
            </w:r>
          </w:p>
        </w:tc>
      </w:tr>
      <w:tr w:rsidR="00FC6543">
        <w:trPr>
          <w:trHeight w:val="264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Outp ut 3: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  <w:sz w:val="22"/>
              </w:rPr>
              <w:t xml:space="preserve">Data Collection and Results Compilation </w:t>
            </w:r>
          </w:p>
        </w:tc>
      </w:tr>
      <w:tr w:rsidR="00FC6543">
        <w:trPr>
          <w:trHeight w:val="7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Sourcing for partners, distribution of work and preparation for data collection (1-3 face-to-face meetings)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August – September 2019 </w:t>
            </w:r>
          </w:p>
        </w:tc>
      </w:tr>
      <w:tr w:rsidR="00FC6543">
        <w:trPr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Data collection and compilation of results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October – January 2019 </w:t>
            </w:r>
          </w:p>
        </w:tc>
      </w:tr>
      <w:tr w:rsidR="00FC6543">
        <w:trPr>
          <w:trHeight w:val="262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Outp ut 4: ASEAN Youth Development Index Phase II Report  </w:t>
            </w:r>
          </w:p>
        </w:tc>
      </w:tr>
      <w:tr w:rsidR="00FC6543">
        <w:trPr>
          <w:trHeight w:val="2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Analysis and drafting of YDI Phase II Report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January - February 2020 </w:t>
            </w:r>
          </w:p>
        </w:tc>
      </w:tr>
      <w:tr w:rsidR="00FC6543">
        <w:trPr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Editing and Finalisation of YDI Phase II Report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3" w:rsidRDefault="00735B6A">
            <w:pPr>
              <w:spacing w:after="0" w:line="276" w:lineRule="auto"/>
              <w:ind w:left="1" w:firstLine="0"/>
              <w:jc w:val="left"/>
            </w:pPr>
            <w:r>
              <w:rPr>
                <w:sz w:val="22"/>
              </w:rPr>
              <w:t xml:space="preserve">March – April 2020 </w:t>
            </w:r>
          </w:p>
        </w:tc>
      </w:tr>
    </w:tbl>
    <w:p w:rsidR="00FC6543" w:rsidRDefault="00735B6A">
      <w:pPr>
        <w:spacing w:after="39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8"/>
        <w:ind w:left="137"/>
      </w:pPr>
      <w:r>
        <w:rPr>
          <w:b/>
        </w:rPr>
        <w:t xml:space="preserve">VI. </w:t>
      </w:r>
      <w:r>
        <w:rPr>
          <w:b/>
        </w:rPr>
        <w:tab/>
        <w:t xml:space="preserve">REPORTING AND SUBMISSION OF OUTPUTS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3"/>
        </w:numPr>
        <w:ind w:hanging="720"/>
      </w:pPr>
      <w:r>
        <w:t xml:space="preserve">The Consultant will report to the ASEAN Secretariat through the Education, Youth and Sports Division.  </w:t>
      </w:r>
    </w:p>
    <w:p w:rsidR="00FC6543" w:rsidRDefault="00735B6A">
      <w:pPr>
        <w:spacing w:after="36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3"/>
        </w:numPr>
        <w:ind w:hanging="720"/>
      </w:pPr>
      <w:r>
        <w:t xml:space="preserve">The Consultant will submit a report on the achievement of deliverables to the ASEAN Secretariat for consultation with the ASEAN Senior Officials Meeting on Youth (SOMY) and relevant Sectoral Bodies/Working Groups, as applicable. </w:t>
      </w:r>
    </w:p>
    <w:p w:rsidR="00FC6543" w:rsidRDefault="00735B6A">
      <w:pPr>
        <w:spacing w:after="36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3"/>
        </w:numPr>
        <w:spacing w:after="39" w:line="234" w:lineRule="auto"/>
        <w:ind w:hanging="720"/>
      </w:pPr>
      <w:r>
        <w:t>The Consultant will form</w:t>
      </w:r>
      <w:r>
        <w:t xml:space="preserve">ulate all deliverables in English. </w:t>
      </w:r>
      <w:r>
        <w:rPr>
          <w:b/>
          <w:i/>
        </w:rPr>
        <w:t xml:space="preserve">All documents will be submitted in modifiable electronic forms e.g. Word and Excel. </w:t>
      </w:r>
    </w:p>
    <w:p w:rsidR="00FC6543" w:rsidRDefault="00735B6A">
      <w:pPr>
        <w:spacing w:after="38" w:line="240" w:lineRule="auto"/>
        <w:ind w:left="720" w:firstLine="0"/>
        <w:jc w:val="left"/>
      </w:pPr>
      <w:r>
        <w:rPr>
          <w:b/>
          <w:i/>
        </w:rPr>
        <w:t xml:space="preserve"> </w:t>
      </w:r>
    </w:p>
    <w:p w:rsidR="00FC6543" w:rsidRDefault="00735B6A">
      <w:pPr>
        <w:numPr>
          <w:ilvl w:val="0"/>
          <w:numId w:val="3"/>
        </w:numPr>
        <w:ind w:hanging="720"/>
      </w:pPr>
      <w:r>
        <w:t xml:space="preserve">The Consultant shall present its report to the SOMY Meeting, if necessary, or as required. </w:t>
      </w:r>
    </w:p>
    <w:p w:rsidR="00FC6543" w:rsidRDefault="00735B6A">
      <w:pPr>
        <w:spacing w:after="39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8"/>
        <w:ind w:left="75"/>
      </w:pPr>
      <w:r>
        <w:rPr>
          <w:b/>
        </w:rPr>
        <w:t xml:space="preserve">VII. </w:t>
      </w:r>
      <w:r>
        <w:rPr>
          <w:b/>
        </w:rPr>
        <w:tab/>
      </w:r>
      <w:r>
        <w:rPr>
          <w:b/>
        </w:rPr>
        <w:t xml:space="preserve">QUALIFICATIONS AND REQUIRED EXPERTISE </w:t>
      </w:r>
    </w:p>
    <w:p w:rsidR="00FC6543" w:rsidRDefault="00735B6A">
      <w:pPr>
        <w:spacing w:after="36" w:line="240" w:lineRule="auto"/>
        <w:ind w:left="0" w:firstLine="0"/>
        <w:jc w:val="left"/>
      </w:pPr>
      <w:r>
        <w:t xml:space="preserve"> </w:t>
      </w:r>
    </w:p>
    <w:p w:rsidR="00FC6543" w:rsidRDefault="00735B6A">
      <w:r>
        <w:t>13.</w:t>
      </w:r>
      <w:r>
        <w:t xml:space="preserve"> </w:t>
      </w:r>
      <w:r>
        <w:tab/>
      </w:r>
      <w:r>
        <w:t xml:space="preserve">The Consultant should meet the following qualifications and required expertise: </w:t>
      </w:r>
    </w:p>
    <w:p w:rsidR="00FC6543" w:rsidRDefault="00735B6A">
      <w:pPr>
        <w:spacing w:after="39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4"/>
        </w:numPr>
        <w:ind w:hanging="425"/>
      </w:pPr>
      <w:r>
        <w:t xml:space="preserve">For individual consultants, an advanced academic degree (post graduate) in disciplines relevant to the assignment is required. </w:t>
      </w:r>
      <w:r>
        <w:t xml:space="preserve">For consulting agencies, the academic background of each assigned expert will constitute the agency profile submitted together with the technical proposal; </w:t>
      </w:r>
    </w:p>
    <w:p w:rsidR="00FC6543" w:rsidRDefault="00735B6A">
      <w:pPr>
        <w:numPr>
          <w:ilvl w:val="0"/>
          <w:numId w:val="4"/>
        </w:numPr>
        <w:ind w:hanging="425"/>
      </w:pPr>
      <w:r>
        <w:t>Demonstrated expertise and experience in research preferably at international and/or regional level</w:t>
      </w:r>
      <w:r>
        <w:t xml:space="preserve"> using mix methods (quantitative-qualitative) in fields relevant to the assignment.  </w:t>
      </w:r>
    </w:p>
    <w:p w:rsidR="00FC6543" w:rsidRDefault="00735B6A">
      <w:pPr>
        <w:numPr>
          <w:ilvl w:val="0"/>
          <w:numId w:val="4"/>
        </w:numPr>
        <w:ind w:hanging="425"/>
      </w:pPr>
      <w:r>
        <w:t xml:space="preserve">Advanced knowledge in the ASEAN Community and the state of youth development in ASEAN Member States is an advantage. </w:t>
      </w:r>
    </w:p>
    <w:p w:rsidR="00FC6543" w:rsidRDefault="00735B6A">
      <w:pPr>
        <w:numPr>
          <w:ilvl w:val="0"/>
          <w:numId w:val="4"/>
        </w:numPr>
        <w:ind w:hanging="425"/>
      </w:pPr>
      <w:r>
        <w:t xml:space="preserve">Experience working with governments especially with </w:t>
      </w:r>
      <w:r>
        <w:t xml:space="preserve">ASEAN Member States.  </w:t>
      </w:r>
    </w:p>
    <w:p w:rsidR="00FC6543" w:rsidRDefault="00735B6A">
      <w:pPr>
        <w:numPr>
          <w:ilvl w:val="0"/>
          <w:numId w:val="4"/>
        </w:numPr>
        <w:ind w:hanging="425"/>
      </w:pPr>
      <w:r>
        <w:t xml:space="preserve">Excellent command of English both verbal and written. </w:t>
      </w:r>
    </w:p>
    <w:p w:rsidR="00FC6543" w:rsidRDefault="00735B6A">
      <w:pPr>
        <w:numPr>
          <w:ilvl w:val="0"/>
          <w:numId w:val="4"/>
        </w:numPr>
        <w:ind w:hanging="425"/>
      </w:pPr>
      <w:r>
        <w:t xml:space="preserve">Ability to facilitate discussion with government officials and other entities with tact, diplomacy, and cultural sensitivity. </w:t>
      </w:r>
    </w:p>
    <w:p w:rsidR="00FC6543" w:rsidRDefault="00735B6A">
      <w:pPr>
        <w:numPr>
          <w:ilvl w:val="0"/>
          <w:numId w:val="4"/>
        </w:numPr>
        <w:ind w:hanging="425"/>
      </w:pPr>
      <w:r>
        <w:t>Ability to meet deadlines and deliver quality outpu</w:t>
      </w:r>
      <w:r>
        <w:t xml:space="preserve">t. </w:t>
      </w:r>
    </w:p>
    <w:p w:rsidR="00FC6543" w:rsidRDefault="00735B6A">
      <w:pPr>
        <w:spacing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8"/>
        <w:ind w:left="20"/>
      </w:pPr>
      <w:r>
        <w:rPr>
          <w:b/>
        </w:rPr>
        <w:t xml:space="preserve">VIII. </w:t>
      </w:r>
      <w:r>
        <w:rPr>
          <w:b/>
        </w:rPr>
        <w:tab/>
        <w:t xml:space="preserve">ARRANGEMENTS </w:t>
      </w:r>
    </w:p>
    <w:p w:rsidR="00FC6543" w:rsidRDefault="00735B6A">
      <w:pPr>
        <w:spacing w:after="36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5"/>
        </w:numPr>
      </w:pPr>
      <w:r>
        <w:t xml:space="preserve">The payment of the consultancy fee will be made </w:t>
      </w:r>
      <w:r>
        <w:rPr>
          <w:u w:val="single" w:color="000000"/>
        </w:rPr>
        <w:t>in tranches</w:t>
      </w:r>
      <w:r>
        <w:t xml:space="preserve"> as contractually agreed with the ASEAN Secretariat.  The Consultant will be responsible for the payment of his/her own tax due arising from income in this consultancy. </w:t>
      </w:r>
    </w:p>
    <w:p w:rsidR="00FC6543" w:rsidRDefault="00735B6A">
      <w:pPr>
        <w:spacing w:after="36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5"/>
        </w:numPr>
      </w:pPr>
      <w:r>
        <w:lastRenderedPageBreak/>
        <w:t xml:space="preserve">The Consultant will be home based, with requirement to travel and attend one (1) to three (3) meetings under the Project. </w:t>
      </w:r>
    </w:p>
    <w:p w:rsidR="00FC6543" w:rsidRDefault="00735B6A">
      <w:pPr>
        <w:spacing w:after="39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5"/>
        </w:numPr>
      </w:pPr>
      <w:r>
        <w:t xml:space="preserve">As applicable, the </w:t>
      </w:r>
      <w:r>
        <w:rPr>
          <w:u w:val="single" w:color="000000"/>
        </w:rPr>
        <w:t>regional</w:t>
      </w:r>
      <w:r>
        <w:t xml:space="preserve"> airfare and per diem (inclusive of accommodation) for the Consultant to attend meetings under this proj</w:t>
      </w:r>
      <w:r>
        <w:t xml:space="preserve">ect will be covered by the ASEAN Secretariat in accordance with its rules and regulations.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5"/>
        </w:numPr>
      </w:pPr>
      <w:r>
        <w:t xml:space="preserve">The Consultant will be responsible for his/her own travel insurance coverage during his/her regional travel and attendance of the meetings.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spacing w:after="38"/>
        <w:ind w:left="137"/>
      </w:pPr>
      <w:r>
        <w:rPr>
          <w:b/>
        </w:rPr>
        <w:t xml:space="preserve">IX. </w:t>
      </w:r>
      <w:r>
        <w:rPr>
          <w:b/>
        </w:rPr>
        <w:tab/>
        <w:t xml:space="preserve">SUBMISSION OF </w:t>
      </w:r>
      <w:r>
        <w:rPr>
          <w:b/>
        </w:rPr>
        <w:t xml:space="preserve">DEADLINE AND ENQUIRIES </w:t>
      </w:r>
    </w:p>
    <w:p w:rsidR="00FC6543" w:rsidRDefault="00735B6A">
      <w:pPr>
        <w:spacing w:after="36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6"/>
        </w:numPr>
      </w:pPr>
      <w:r>
        <w:t xml:space="preserve">The selection and recruitment of the Consultant will be conducted through limited-source tender in line with the ASEAN Secretariat Financial and Administrative Rules and Procedures (AFARP) 2018.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 </w:t>
      </w:r>
    </w:p>
    <w:p w:rsidR="00FC6543" w:rsidRDefault="00735B6A">
      <w:pPr>
        <w:numPr>
          <w:ilvl w:val="0"/>
          <w:numId w:val="6"/>
        </w:numPr>
      </w:pPr>
      <w:r>
        <w:t>The deadline of proposal submis</w:t>
      </w:r>
      <w:r>
        <w:t xml:space="preserve">sion is </w:t>
      </w:r>
      <w:r>
        <w:rPr>
          <w:b/>
          <w:u w:val="single" w:color="000000"/>
        </w:rPr>
        <w:t>12 April 2019 at 5.00 PM Jakarta time</w:t>
      </w:r>
      <w:r>
        <w:t xml:space="preserve">. Any submission beyond the deadline will not be considered. </w:t>
      </w:r>
    </w:p>
    <w:p w:rsidR="00FC6543" w:rsidRDefault="00735B6A">
      <w:pPr>
        <w:spacing w:after="38" w:line="240" w:lineRule="auto"/>
        <w:ind w:left="0" w:firstLine="0"/>
        <w:jc w:val="left"/>
      </w:pPr>
      <w:r>
        <w:t xml:space="preserve"> </w:t>
      </w:r>
    </w:p>
    <w:p w:rsidR="00FC6543" w:rsidRDefault="00735B6A">
      <w:pPr>
        <w:numPr>
          <w:ilvl w:val="0"/>
          <w:numId w:val="6"/>
        </w:numPr>
      </w:pPr>
      <w:r>
        <w:t xml:space="preserve">Interested candidate may contact ASEAN Secretariat to obtain further clarification and understanding of the scope of work and responsibility prior </w:t>
      </w:r>
      <w:r>
        <w:t xml:space="preserve">to the submission of the application. Please send your query to the ASEAN Secretariat through </w:t>
      </w:r>
      <w:r>
        <w:rPr>
          <w:color w:val="0563C1"/>
          <w:u w:val="single" w:color="0563C1"/>
        </w:rPr>
        <w:t>procurement@asean.org</w:t>
      </w:r>
      <w:r>
        <w:t xml:space="preserve">. </w:t>
      </w:r>
    </w:p>
    <w:p w:rsidR="00FC6543" w:rsidRDefault="00735B6A">
      <w:pPr>
        <w:spacing w:after="39" w:line="240" w:lineRule="auto"/>
        <w:ind w:left="0" w:firstLine="0"/>
        <w:jc w:val="center"/>
      </w:pPr>
      <w:r>
        <w:t xml:space="preserve"> </w:t>
      </w:r>
    </w:p>
    <w:p w:rsidR="00FC6543" w:rsidRDefault="00735B6A">
      <w:pPr>
        <w:spacing w:after="0" w:line="240" w:lineRule="auto"/>
        <w:ind w:left="0" w:firstLine="0"/>
        <w:jc w:val="center"/>
      </w:pPr>
      <w:r>
        <w:t xml:space="preserve">[end] </w:t>
      </w:r>
    </w:p>
    <w:sectPr w:rsidR="00FC6543">
      <w:footerReference w:type="even" r:id="rId7"/>
      <w:footerReference w:type="default" r:id="rId8"/>
      <w:footerReference w:type="first" r:id="rId9"/>
      <w:footnotePr>
        <w:numRestart w:val="eachPage"/>
      </w:footnotePr>
      <w:pgSz w:w="11899" w:h="16841"/>
      <w:pgMar w:top="1483" w:right="1433" w:bottom="1456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6A" w:rsidRDefault="00735B6A">
      <w:pPr>
        <w:spacing w:after="0" w:line="240" w:lineRule="auto"/>
      </w:pPr>
      <w:r>
        <w:separator/>
      </w:r>
    </w:p>
  </w:endnote>
  <w:endnote w:type="continuationSeparator" w:id="0">
    <w:p w:rsidR="00735B6A" w:rsidRDefault="0073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43" w:rsidRDefault="00735B6A">
    <w:pPr>
      <w:spacing w:after="42" w:line="240" w:lineRule="auto"/>
      <w:ind w:left="0" w:firstLine="0"/>
      <w:jc w:val="center"/>
    </w:pPr>
    <w:r>
      <w:rPr>
        <w:sz w:val="21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1"/>
      </w:rPr>
      <w:t>5</w:t>
    </w:r>
    <w:r>
      <w:rPr>
        <w:sz w:val="21"/>
      </w:rPr>
      <w:fldChar w:fldCharType="end"/>
    </w:r>
    <w:r>
      <w:rPr>
        <w:sz w:val="21"/>
      </w:rPr>
      <w:t xml:space="preserve"> </w:t>
    </w:r>
  </w:p>
  <w:p w:rsidR="00FC6543" w:rsidRDefault="00735B6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43" w:rsidRDefault="00735B6A">
    <w:pPr>
      <w:spacing w:after="42" w:line="240" w:lineRule="auto"/>
      <w:ind w:left="0" w:firstLine="0"/>
      <w:jc w:val="center"/>
    </w:pPr>
    <w:r>
      <w:rPr>
        <w:sz w:val="21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735E9" w:rsidRPr="00A735E9"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735E9" w:rsidRPr="00A735E9">
      <w:rPr>
        <w:noProof/>
        <w:sz w:val="21"/>
      </w:rPr>
      <w:t>6</w:t>
    </w:r>
    <w:r>
      <w:rPr>
        <w:sz w:val="21"/>
      </w:rPr>
      <w:fldChar w:fldCharType="end"/>
    </w:r>
    <w:r>
      <w:rPr>
        <w:sz w:val="21"/>
      </w:rPr>
      <w:t xml:space="preserve"> </w:t>
    </w:r>
  </w:p>
  <w:p w:rsidR="00FC6543" w:rsidRDefault="00735B6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43" w:rsidRDefault="00735B6A">
    <w:pPr>
      <w:spacing w:after="42" w:line="240" w:lineRule="auto"/>
      <w:ind w:left="0" w:firstLine="0"/>
      <w:jc w:val="center"/>
    </w:pPr>
    <w:r>
      <w:rPr>
        <w:sz w:val="21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1"/>
      </w:rPr>
      <w:t>5</w:t>
    </w:r>
    <w:r>
      <w:rPr>
        <w:sz w:val="21"/>
      </w:rPr>
      <w:fldChar w:fldCharType="end"/>
    </w:r>
    <w:r>
      <w:rPr>
        <w:sz w:val="21"/>
      </w:rPr>
      <w:t xml:space="preserve"> </w:t>
    </w:r>
  </w:p>
  <w:p w:rsidR="00FC6543" w:rsidRDefault="00735B6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6A" w:rsidRDefault="00735B6A">
      <w:pPr>
        <w:spacing w:after="0" w:line="240" w:lineRule="auto"/>
        <w:ind w:left="0" w:firstLine="0"/>
        <w:jc w:val="left"/>
      </w:pPr>
      <w:r>
        <w:separator/>
      </w:r>
    </w:p>
  </w:footnote>
  <w:footnote w:type="continuationSeparator" w:id="0">
    <w:p w:rsidR="00735B6A" w:rsidRDefault="00735B6A">
      <w:pPr>
        <w:spacing w:after="0" w:line="240" w:lineRule="auto"/>
        <w:ind w:left="0" w:firstLine="0"/>
        <w:jc w:val="left"/>
      </w:pPr>
      <w:r>
        <w:continuationSeparator/>
      </w:r>
    </w:p>
  </w:footnote>
  <w:footnote w:id="1">
    <w:p w:rsidR="00FC6543" w:rsidRDefault="00735B6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u w:val="none" w:color="000000"/>
        </w:rPr>
        <w:t>Published report</w:t>
      </w:r>
      <w:hyperlink r:id="rId1">
        <w:r>
          <w:rPr>
            <w:color w:val="000000"/>
            <w:u w:val="none" w:color="000000"/>
          </w:rPr>
          <w:t xml:space="preserve">: </w:t>
        </w:r>
      </w:hyperlink>
      <w:hyperlink r:id="rId2">
        <w:r>
          <w:t>https://asean.org/storage/2017/10/ASEAN-UNFPA_report_web-final-05sep.pdf</w:t>
        </w:r>
      </w:hyperlink>
      <w:hyperlink r:id="rId3">
        <w:r>
          <w:rPr>
            <w:rFonts w:ascii="Calibri" w:eastAsia="Calibri" w:hAnsi="Calibri" w:cs="Calibri"/>
            <w:color w:val="000000"/>
            <w:u w:val="none" w:color="000000"/>
          </w:rPr>
          <w:t xml:space="preserve"> </w:t>
        </w:r>
      </w:hyperlink>
      <w:hyperlink r:id="rId4">
        <w:r>
          <w:rPr>
            <w:rFonts w:ascii="Calibri" w:eastAsia="Calibri" w:hAnsi="Calibri" w:cs="Calibri"/>
            <w:color w:val="000000"/>
            <w:sz w:val="20"/>
            <w:u w:val="none" w:color="000000"/>
          </w:rPr>
          <w:t xml:space="preserve">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00DB9"/>
    <w:multiLevelType w:val="hybridMultilevel"/>
    <w:tmpl w:val="65BE97BE"/>
    <w:lvl w:ilvl="0" w:tplc="CD76A9B6">
      <w:start w:val="9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2FF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4C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884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20E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67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20F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430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6BD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165B66"/>
    <w:multiLevelType w:val="hybridMultilevel"/>
    <w:tmpl w:val="366C1750"/>
    <w:lvl w:ilvl="0" w:tplc="DA742C2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AB7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2D7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4A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A8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B4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0E5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4B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237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B36297"/>
    <w:multiLevelType w:val="hybridMultilevel"/>
    <w:tmpl w:val="0ECAAC72"/>
    <w:lvl w:ilvl="0" w:tplc="0A62C6E4">
      <w:start w:val="1"/>
      <w:numFmt w:val="lowerLetter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EE91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DC0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68EE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411D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8645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EDAD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08C5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402C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BF7AE8"/>
    <w:multiLevelType w:val="hybridMultilevel"/>
    <w:tmpl w:val="BF1AD676"/>
    <w:lvl w:ilvl="0" w:tplc="223A711A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0D5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6C3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039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A5C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8D6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C85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2EB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84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05748D"/>
    <w:multiLevelType w:val="hybridMultilevel"/>
    <w:tmpl w:val="0B00392C"/>
    <w:lvl w:ilvl="0" w:tplc="990A8DE4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B3E4">
      <w:start w:val="1"/>
      <w:numFmt w:val="decimal"/>
      <w:lvlText w:val="(%2)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C56A0">
      <w:start w:val="1"/>
      <w:numFmt w:val="lowerRoman"/>
      <w:lvlText w:val="(%3)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02706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46588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48D0A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C5CC0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E55D2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AFBB0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101E10"/>
    <w:multiLevelType w:val="hybridMultilevel"/>
    <w:tmpl w:val="E7983CC6"/>
    <w:lvl w:ilvl="0" w:tplc="E326E7BA">
      <w:start w:val="1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617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8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274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EC3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8A1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A7E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0A4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085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43"/>
    <w:rsid w:val="00735B6A"/>
    <w:rsid w:val="00A735E9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395C0-B582-4D8C-8922-631A1B52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37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0" w:lineRule="auto"/>
    </w:pPr>
    <w:rPr>
      <w:rFonts w:ascii="Arial" w:eastAsia="Arial" w:hAnsi="Arial" w:cs="Arial"/>
      <w:color w:val="0563C1"/>
      <w:sz w:val="18"/>
      <w:u w:val="single" w:color="0563C1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563C1"/>
      <w:sz w:val="18"/>
      <w:u w:val="single" w:color="0563C1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sean.org/storage/2017/10/ASEAN-UNFPA_report_web-final-05sep.pdf" TargetMode="External"/><Relationship Id="rId2" Type="http://schemas.openxmlformats.org/officeDocument/2006/relationships/hyperlink" Target="https://asean.org/storage/2017/10/ASEAN-UNFPA_report_web-final-05sep.pdf" TargetMode="External"/><Relationship Id="rId1" Type="http://schemas.openxmlformats.org/officeDocument/2006/relationships/hyperlink" Target="https://asean.org/storage/2017/10/ASEAN-UNFPA_report_web-final-05sep.pdf" TargetMode="External"/><Relationship Id="rId4" Type="http://schemas.openxmlformats.org/officeDocument/2006/relationships/hyperlink" Target="https://asean.org/storage/2017/10/ASEAN-UNFPA_report_web-final-05se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cp:lastModifiedBy>AutoBVT</cp:lastModifiedBy>
  <cp:revision>2</cp:revision>
  <dcterms:created xsi:type="dcterms:W3CDTF">2019-03-15T02:49:00Z</dcterms:created>
  <dcterms:modified xsi:type="dcterms:W3CDTF">2019-03-15T02:49:00Z</dcterms:modified>
</cp:coreProperties>
</file>